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F6" w:rsidRPr="00D14B80" w:rsidRDefault="001A35F6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D14B8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РОССИЙСКАЯ ФЕДЕРАЦИЯ</w:t>
      </w:r>
    </w:p>
    <w:p w:rsidR="001A35F6" w:rsidRDefault="001A35F6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БРЯНСКАЯ ОБЛАСТЬ</w:t>
      </w:r>
    </w:p>
    <w:p w:rsidR="001A35F6" w:rsidRDefault="001A35F6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МГЛИНСКИЙ МЦНИЦИПАЛЬНВЙ РАЙОН</w:t>
      </w:r>
    </w:p>
    <w:p w:rsidR="001A35F6" w:rsidRDefault="001A35F6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КРАСНОКОСАРОВСКАЯ СЕОТСКАЯ АДМИНИСТРАЦИЯ</w:t>
      </w:r>
    </w:p>
    <w:p w:rsidR="001A35F6" w:rsidRDefault="001A35F6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1A35F6" w:rsidRPr="00D14B80" w:rsidRDefault="001A35F6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1A35F6" w:rsidRPr="00D14B80" w:rsidRDefault="001A35F6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ru-RU" w:bidi="ar-SA"/>
        </w:rPr>
      </w:pPr>
      <w:r w:rsidRPr="00D14B80">
        <w:rPr>
          <w:rFonts w:ascii="Times New Roman" w:eastAsia="SimSun" w:hAnsi="Times New Roman" w:cs="Times New Roman"/>
          <w:b/>
          <w:color w:val="auto"/>
          <w:sz w:val="28"/>
          <w:szCs w:val="28"/>
          <w:lang w:eastAsia="ru-RU" w:bidi="ar-SA"/>
        </w:rPr>
        <w:t>П О С Т А Н О В Л Е Н И Е</w:t>
      </w:r>
    </w:p>
    <w:p w:rsidR="001A35F6" w:rsidRPr="00D14B80" w:rsidRDefault="001A35F6" w:rsidP="007301C9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1A35F6" w:rsidRPr="00D14B80" w:rsidRDefault="001A35F6" w:rsidP="006F5740">
      <w:pPr>
        <w:widowControl/>
        <w:suppressAutoHyphens/>
        <w:spacing w:before="0" w:after="0"/>
        <w:ind w:left="0" w:right="0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1A35F6" w:rsidRDefault="001A35F6" w:rsidP="006F5740">
      <w:pPr>
        <w:widowControl/>
        <w:shd w:val="clear" w:color="auto" w:fill="FFFFFF"/>
        <w:suppressAutoHyphens/>
        <w:spacing w:before="0" w:after="0"/>
        <w:ind w:left="0" w:right="0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 w:bidi="ar-SA"/>
        </w:rPr>
        <w:t>от 22.04.2024</w:t>
      </w:r>
      <w:r w:rsidRPr="00D14B80">
        <w:rPr>
          <w:rFonts w:ascii="Times New Roman" w:eastAsia="SimSu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 г</w:t>
      </w:r>
      <w:r w:rsidRPr="00D14B80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ода </w:t>
      </w: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ru-RU" w:bidi="ar-SA"/>
        </w:rPr>
        <w:t>№18</w:t>
      </w:r>
    </w:p>
    <w:p w:rsidR="001A35F6" w:rsidRPr="00D14B80" w:rsidRDefault="001A35F6" w:rsidP="006F5740">
      <w:pPr>
        <w:widowControl/>
        <w:shd w:val="clear" w:color="auto" w:fill="FFFFFF"/>
        <w:suppressAutoHyphens/>
        <w:spacing w:before="0" w:after="0"/>
        <w:ind w:left="0" w:right="0"/>
        <w:rPr>
          <w:rFonts w:ascii="Calibri" w:eastAsia="SimSun" w:hAnsi="Calibri" w:cs="Times New Roman"/>
          <w:color w:val="auto"/>
          <w:sz w:val="22"/>
          <w:szCs w:val="22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д. Красные Косары.</w:t>
      </w:r>
      <w:r w:rsidRPr="00D14B8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               </w:t>
      </w:r>
    </w:p>
    <w:p w:rsidR="001A35F6" w:rsidRPr="00D14B80" w:rsidRDefault="001A35F6" w:rsidP="006F5740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D14B8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        </w:t>
      </w:r>
      <w:r w:rsidRPr="00D14B8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</w:p>
    <w:p w:rsidR="001A35F6" w:rsidRPr="00D14B80" w:rsidRDefault="001A35F6">
      <w:pPr>
        <w:pStyle w:val="BodyText"/>
        <w:spacing w:after="0"/>
        <w:ind w:left="0" w:right="0" w:firstLine="567"/>
        <w:jc w:val="both"/>
        <w:rPr>
          <w:color w:val="auto"/>
        </w:rPr>
      </w:pPr>
    </w:p>
    <w:p w:rsidR="001A35F6" w:rsidRPr="00D14B80" w:rsidRDefault="001A35F6" w:rsidP="006F5740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утверждении Порядка </w:t>
      </w:r>
    </w:p>
    <w:p w:rsidR="001A35F6" w:rsidRPr="00D14B80" w:rsidRDefault="001A35F6" w:rsidP="006F5740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Cs w:val="0"/>
          <w:color w:val="auto"/>
          <w:sz w:val="28"/>
          <w:szCs w:val="28"/>
        </w:rPr>
        <w:t>формирования  и утверждения перечня объектов,  </w:t>
      </w:r>
    </w:p>
    <w:p w:rsidR="001A35F6" w:rsidRPr="00D14B80" w:rsidRDefault="001A35F6" w:rsidP="006F5740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Cs w:val="0"/>
          <w:color w:val="auto"/>
          <w:sz w:val="28"/>
          <w:szCs w:val="28"/>
        </w:rPr>
        <w:t>в отношении, которых планируется заключение  концессионных соглашений,  </w:t>
      </w:r>
    </w:p>
    <w:p w:rsidR="001A35F6" w:rsidRPr="00D14B80" w:rsidRDefault="001A35F6" w:rsidP="006F5740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Cs w:val="0"/>
          <w:color w:val="auto"/>
          <w:sz w:val="28"/>
          <w:szCs w:val="28"/>
        </w:rPr>
        <w:t>и Порядка принятия решений о заключении  концессионных соглашений</w:t>
      </w:r>
    </w:p>
    <w:p w:rsidR="001A35F6" w:rsidRPr="00D14B80" w:rsidRDefault="001A35F6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</w:t>
      </w:r>
      <w:hyperlink r:id="rId6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</w:t>
      </w:r>
      <w:hyperlink r:id="rId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Уставом сельског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о Краснокосаровского поселения 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в целях обеспечения взаимодействия и координации деятельности сельского поселе</w:t>
      </w:r>
      <w:r>
        <w:rPr>
          <w:rFonts w:ascii="Times New Roman" w:hAnsi="Times New Roman" w:cs="Times New Roman"/>
          <w:color w:val="auto"/>
          <w:sz w:val="28"/>
          <w:szCs w:val="28"/>
        </w:rPr>
        <w:t>ния ,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при подготовке концессионных соглашений и эффективного использования имущества, находящегося в собственности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35F6" w:rsidRPr="00D14B80" w:rsidRDefault="001A35F6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1A35F6" w:rsidRPr="00D14B80" w:rsidRDefault="001A35F6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213EBF" w:rsidRDefault="001A35F6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EBF">
        <w:rPr>
          <w:rFonts w:ascii="Times New Roman" w:hAnsi="Times New Roman" w:cs="Times New Roman"/>
          <w:color w:val="auto"/>
          <w:sz w:val="28"/>
          <w:szCs w:val="28"/>
        </w:rPr>
        <w:t>1. Утвердить Порядок формирования и утверждения перечня объектов, в отношении которых планируется закл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ючение концессионных соглашений (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35F6" w:rsidRPr="00213EBF" w:rsidRDefault="001A35F6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EBF">
        <w:rPr>
          <w:rFonts w:ascii="Times New Roman" w:hAnsi="Times New Roman" w:cs="Times New Roman"/>
          <w:color w:val="auto"/>
          <w:sz w:val="28"/>
          <w:szCs w:val="28"/>
        </w:rPr>
        <w:t>2. Утвердить Порядок принятия решений о заключении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концессионных соглашений (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35F6" w:rsidRPr="00213EBF" w:rsidRDefault="001A35F6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14B80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Настоящее постановление вступает в силу со дня его обнародования.</w:t>
      </w:r>
    </w:p>
    <w:p w:rsidR="001A35F6" w:rsidRPr="00D14B80" w:rsidRDefault="001A35F6" w:rsidP="007977A6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4. Контроль за исполнением данного постановления оставляю за собой.</w:t>
      </w:r>
    </w:p>
    <w:p w:rsidR="001A35F6" w:rsidRPr="00D14B80" w:rsidRDefault="001A35F6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1A35F6" w:rsidRPr="00D14B80" w:rsidRDefault="001A35F6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1A35F6" w:rsidRPr="00D14B80" w:rsidRDefault="001A35F6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:rsidR="001A35F6" w:rsidRPr="00D14B80" w:rsidRDefault="001A35F6" w:rsidP="00621132">
      <w:pPr>
        <w:widowControl/>
        <w:tabs>
          <w:tab w:val="left" w:pos="8139"/>
        </w:tabs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D14B8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Глава </w:t>
      </w:r>
      <w:r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 Краснокосаровской  сельской администрации</w:t>
      </w:r>
      <w:r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  <w:t>В.М.Щетник.</w:t>
      </w:r>
    </w:p>
    <w:p w:rsidR="001A35F6" w:rsidRPr="00D14B80" w:rsidRDefault="001A35F6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  </w:t>
      </w:r>
    </w:p>
    <w:p w:rsidR="001A35F6" w:rsidRPr="00D14B80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Pr="00D14B80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Pr="00D14B80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Pr="00D14B80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Pr="00D14B80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Pr="00D14B80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Pr="00D14B80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Pr="00621132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Pr="00621132" w:rsidRDefault="001A35F6" w:rsidP="00FB4155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Pr="00621132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1A35F6" w:rsidRPr="00D14B80" w:rsidRDefault="001A35F6" w:rsidP="00331B21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A35F6" w:rsidRPr="00D14B80" w:rsidRDefault="001A35F6" w:rsidP="00331B21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331B21" w:rsidRDefault="001A35F6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1A35F6" w:rsidRPr="00331B21" w:rsidRDefault="001A35F6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1A35F6" w:rsidRPr="00331B21" w:rsidRDefault="001A35F6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331B21" w:rsidRDefault="001A35F6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разработан в соответствии с Федеральным законом </w:t>
      </w:r>
      <w:hyperlink r:id="rId8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поселения-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(далее - объекты), в отношении которых планируется заключение концессионных соглашений (далее - Перечень).</w:t>
      </w:r>
    </w:p>
    <w:p w:rsidR="001A35F6" w:rsidRPr="00331B21" w:rsidRDefault="001A35F6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2. Формирование проекта Перечня осуществляется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color w:val="auto"/>
          <w:sz w:val="28"/>
          <w:szCs w:val="28"/>
        </w:rPr>
        <w:t>ения -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(далее - Администрация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>), в соответствии с поступившими предложениями о включении в Перечень предлагаемых к передаче в концессию объектов.</w:t>
      </w:r>
    </w:p>
    <w:p w:rsidR="001A35F6" w:rsidRPr="00331B21" w:rsidRDefault="001A35F6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1A35F6" w:rsidRPr="00331B21" w:rsidRDefault="001A35F6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>. Предложения направляют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ся в Администрацию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в срок до 1 декабря года, предшествующего году формирования Перечня, по форме, указанной в приложении к настоящему Порядку.</w:t>
      </w:r>
    </w:p>
    <w:p w:rsidR="001A35F6" w:rsidRPr="00331B21" w:rsidRDefault="001A35F6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1A35F6" w:rsidRPr="00331B21" w:rsidRDefault="001A35F6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сел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ьского поселения 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1A35F6" w:rsidRPr="00331B21" w:rsidRDefault="001A35F6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331B21" w:rsidRDefault="001A35F6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Default="001A35F6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Default="001A35F6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Default="001A35F6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Default="001A35F6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331B21">
        <w:rPr>
          <w:rFonts w:ascii="Times New Roman" w:hAnsi="Times New Roman" w:cs="Times New Roman"/>
          <w:color w:val="auto"/>
        </w:rPr>
        <w:t xml:space="preserve">Приложение к Порядку </w:t>
      </w:r>
    </w:p>
    <w:p w:rsidR="001A35F6" w:rsidRPr="00D14B80" w:rsidRDefault="001A35F6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331B21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1A35F6" w:rsidRPr="00D14B80" w:rsidRDefault="001A35F6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отношении</w:t>
      </w:r>
      <w:bookmarkStart w:id="0" w:name="_GoBack"/>
      <w:bookmarkEnd w:id="0"/>
      <w:r w:rsidRPr="00331B21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:rsidR="001A35F6" w:rsidRPr="00331B21" w:rsidRDefault="001A35F6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1A35F6" w:rsidRPr="00331B21" w:rsidRDefault="001A35F6" w:rsidP="00331B21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331B21" w:rsidRDefault="001A35F6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 </w:t>
      </w:r>
    </w:p>
    <w:p w:rsidR="001A35F6" w:rsidRPr="00331B21" w:rsidRDefault="001A35F6" w:rsidP="00331B21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перечня объектов, в отношении которых планируется заключение концессионных соглашений</w:t>
      </w:r>
    </w:p>
    <w:p w:rsidR="001A35F6" w:rsidRPr="00D14B80" w:rsidRDefault="001A35F6" w:rsidP="00331B21">
      <w:pPr>
        <w:pStyle w:val="Heading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0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1937"/>
        <w:gridCol w:w="2316"/>
        <w:gridCol w:w="1875"/>
        <w:gridCol w:w="1671"/>
        <w:gridCol w:w="1840"/>
      </w:tblGrid>
      <w:tr w:rsidR="001A35F6" w:rsidRPr="00D14B80" w:rsidTr="00D9651D">
        <w:tc>
          <w:tcPr>
            <w:tcW w:w="667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937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75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объекта</w:t>
            </w:r>
          </w:p>
        </w:tc>
        <w:tc>
          <w:tcPr>
            <w:tcW w:w="1671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Планируемая сфера применения объекта</w:t>
            </w:r>
          </w:p>
        </w:tc>
        <w:tc>
          <w:tcPr>
            <w:tcW w:w="1840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номер объекта недвижимого имущества</w:t>
            </w:r>
          </w:p>
        </w:tc>
      </w:tr>
      <w:tr w:rsidR="001A35F6" w:rsidRPr="00D14B80" w:rsidTr="00D9651D">
        <w:tc>
          <w:tcPr>
            <w:tcW w:w="667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937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ГТС  - количества  - 5.</w:t>
            </w:r>
          </w:p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1.с.Новые чешуики.</w:t>
            </w:r>
          </w:p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2.3 – с.Молодькова.</w:t>
            </w:r>
          </w:p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 д.Харновка.</w:t>
            </w:r>
          </w:p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Цинка.</w:t>
            </w:r>
          </w:p>
        </w:tc>
        <w:tc>
          <w:tcPr>
            <w:tcW w:w="2316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Аренда.</w:t>
            </w:r>
          </w:p>
        </w:tc>
        <w:tc>
          <w:tcPr>
            <w:tcW w:w="1875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Водная платина </w:t>
            </w:r>
          </w:p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шир.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D9651D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14 м</w:t>
              </w:r>
            </w:smartTag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дл.47</w:t>
            </w:r>
          </w:p>
          <w:p w:rsidR="001A35F6" w:rsidRDefault="001A35F6" w:rsidP="001C08D5">
            <w:r>
              <w:t xml:space="preserve">6.53  х89 </w:t>
            </w:r>
          </w:p>
          <w:p w:rsidR="001A35F6" w:rsidRDefault="001A35F6" w:rsidP="001C08D5">
            <w:r>
              <w:t>6.8х89</w:t>
            </w:r>
          </w:p>
          <w:p w:rsidR="001A35F6" w:rsidRDefault="001A35F6" w:rsidP="001C08D5"/>
          <w:p w:rsidR="001A35F6" w:rsidRDefault="001A35F6" w:rsidP="001C08D5">
            <w:r>
              <w:t>5х73.2 мет.</w:t>
            </w:r>
          </w:p>
          <w:p w:rsidR="001A35F6" w:rsidRPr="001C08D5" w:rsidRDefault="001A35F6" w:rsidP="001C08D5">
            <w:r>
              <w:t>15х 146</w:t>
            </w:r>
          </w:p>
        </w:tc>
        <w:tc>
          <w:tcPr>
            <w:tcW w:w="1671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</w:tcPr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35F6" w:rsidRPr="00D9651D" w:rsidRDefault="001A35F6" w:rsidP="00D9651D">
            <w:pPr>
              <w:pStyle w:val="Body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6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316</w:t>
            </w:r>
          </w:p>
          <w:p w:rsidR="001A35F6" w:rsidRDefault="001A35F6" w:rsidP="000E099D">
            <w:r>
              <w:t>32 16 0020901 352</w:t>
            </w:r>
          </w:p>
          <w:p w:rsidR="001A35F6" w:rsidRDefault="001A35F6" w:rsidP="000E099D">
            <w:r>
              <w:t>412</w:t>
            </w:r>
          </w:p>
          <w:p w:rsidR="001A35F6" w:rsidRDefault="001A35F6" w:rsidP="000E099D">
            <w:r>
              <w:t xml:space="preserve"> 48</w:t>
            </w:r>
          </w:p>
          <w:p w:rsidR="001A35F6" w:rsidRPr="000E099D" w:rsidRDefault="001A35F6" w:rsidP="000E099D">
            <w:r>
              <w:t>153</w:t>
            </w:r>
          </w:p>
        </w:tc>
      </w:tr>
    </w:tbl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Pr="00D14B80" w:rsidRDefault="001A35F6" w:rsidP="00C24BFA">
      <w:pPr>
        <w:pStyle w:val="BodyText"/>
        <w:rPr>
          <w:color w:val="auto"/>
        </w:rPr>
      </w:pPr>
    </w:p>
    <w:p w:rsidR="001A35F6" w:rsidRDefault="001A35F6" w:rsidP="007301C9">
      <w:pPr>
        <w:pStyle w:val="BodyText"/>
        <w:ind w:left="0"/>
        <w:rPr>
          <w:color w:val="auto"/>
        </w:rPr>
      </w:pPr>
    </w:p>
    <w:p w:rsidR="001A35F6" w:rsidRPr="00D14B80" w:rsidRDefault="001A35F6" w:rsidP="007301C9">
      <w:pPr>
        <w:pStyle w:val="BodyText"/>
        <w:ind w:left="0"/>
        <w:rPr>
          <w:color w:val="auto"/>
        </w:rPr>
      </w:pPr>
    </w:p>
    <w:p w:rsidR="001A35F6" w:rsidRPr="00D14B80" w:rsidRDefault="001A35F6" w:rsidP="00604F72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1A35F6" w:rsidRPr="00D14B80" w:rsidRDefault="001A35F6" w:rsidP="00604F72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B80">
        <w:rPr>
          <w:rFonts w:ascii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 w:rsidR="001A35F6" w:rsidRPr="00D14B80" w:rsidRDefault="001A35F6" w:rsidP="007301C9">
      <w:pPr>
        <w:pStyle w:val="BodyText"/>
        <w:ind w:right="-1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A35F6" w:rsidRPr="00604F72" w:rsidRDefault="001A35F6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1A35F6" w:rsidRPr="00604F72" w:rsidRDefault="001A35F6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принятия решений о заключении концессионных соглашений 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604F72" w:rsidRDefault="001A35F6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1.Общие положения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9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законом от </w:t>
      </w:r>
      <w:hyperlink r:id="rId10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1.2. В настоящем Порядке применяются понятия и термины, установленные Федеральным законом от </w:t>
      </w:r>
      <w:hyperlink r:id="rId11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иными действующими нормативными правовыми актами.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1.5. Инициаторами заключения концессионного соглашения являются как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так и лица, отвечающие требованиям Федерального закона </w:t>
      </w:r>
      <w:hyperlink r:id="rId12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13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 (далее - инициатор).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4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отношениях", определяется концессионным соглашением.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администрации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5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и Федеральным законом </w:t>
      </w:r>
      <w:hyperlink r:id="rId16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604F72" w:rsidRDefault="001A35F6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Организация подготовки и принятия решения о передаче объекта в концессию по инициативе администрации </w:t>
      </w:r>
      <w:r w:rsidRPr="00D14B80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 Введенский сельсовет Липецкого муниципального района Липецкой области</w:t>
      </w: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2.1. Инициат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ор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подает заявку с предложением рассмотреть имущество в качестве объекта концессионного соглашения. 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К заявке прилагаются документы, содержащие следующую информацию: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а) технико-экономическое обоснование передачи имущества в концессию;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б) предполагаемый объем инвестиций в создание и (или) реконструкцию объекта концессионного соглашения;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в) срок концессионного соглашения, в том числе срок окупаемости предполагаемых инвестиций;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1A35F6" w:rsidRPr="00604F72" w:rsidRDefault="001A35F6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2.2 В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       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2.3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ачи имущества в концессию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Дата и время заседания рабочей группы назначается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в срок не позднее 14 дней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от даты, указанной в пункте 2.2.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готовится проект постановления администрации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сельского поселения Введенский сельсовет Липецкого муниципального района Липецкой области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 заключении концессионного соглашения.</w:t>
      </w: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 администрации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 заключении концессионного соглашения должно содержать: </w:t>
      </w: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1) условия концессионного соглашения в соответствии со статьей 10 Федерального закона от </w:t>
      </w:r>
      <w:hyperlink r:id="rId1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соглашениях"; </w:t>
      </w: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2) критерии конкурса и параметры критериев конкурса; </w:t>
      </w: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3) вид конкурса (открытый конкурс или закрытый конкурс); </w:t>
      </w: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Постановлением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сельского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8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2.8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. По результатам конкурса заключается концессионное соглашение.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604F72" w:rsidRDefault="001A35F6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19">
        <w:r w:rsidRPr="00D14B80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21.05.2005 N 115-ФЗ</w:t>
        </w:r>
      </w:hyperlink>
      <w:hyperlink r:id="rId20">
        <w:r w:rsidRPr="00D14B80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</w:hyperlink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"О концессионных соглашениях"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3.1. Лица, соответствующие требованиям Федерального закона </w:t>
      </w:r>
      <w:hyperlink r:id="rId21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22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подают предложение о заключении концессионного соглашения в администрацию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по ф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3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администрации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3.3. Решение о возможности заключения концессионного соглашения либо об отказе в заключение концессионного соглашения принимается администрацией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35F6" w:rsidRPr="00D14B80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4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 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5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26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604F72" w:rsidRDefault="001A35F6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Контроль за исполнением концессионных соглашений</w:t>
      </w: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5F6" w:rsidRPr="00604F72" w:rsidRDefault="001A35F6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концессионного соглашения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осуществляет администрация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35F6" w:rsidRPr="00D14B80" w:rsidRDefault="001A35F6" w:rsidP="00604F72">
      <w:pPr>
        <w:pStyle w:val="BodyText"/>
        <w:ind w:right="-1"/>
        <w:jc w:val="right"/>
        <w:rPr>
          <w:color w:val="auto"/>
        </w:rPr>
      </w:pPr>
    </w:p>
    <w:sectPr w:rsidR="001A35F6" w:rsidRPr="00D14B80" w:rsidSect="002C37D1">
      <w:headerReference w:type="default" r:id="rId27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F6" w:rsidRDefault="001A35F6" w:rsidP="00A34F6C">
      <w:pPr>
        <w:spacing w:before="0" w:after="0"/>
      </w:pPr>
      <w:r>
        <w:separator/>
      </w:r>
    </w:p>
  </w:endnote>
  <w:endnote w:type="continuationSeparator" w:id="0">
    <w:p w:rsidR="001A35F6" w:rsidRDefault="001A35F6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horndale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F6" w:rsidRDefault="001A35F6" w:rsidP="00A34F6C">
      <w:pPr>
        <w:spacing w:before="0" w:after="0"/>
      </w:pPr>
      <w:r>
        <w:separator/>
      </w:r>
    </w:p>
  </w:footnote>
  <w:footnote w:type="continuationSeparator" w:id="0">
    <w:p w:rsidR="001A35F6" w:rsidRDefault="001A35F6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F6" w:rsidRPr="00A34F6C" w:rsidRDefault="001A35F6" w:rsidP="00A34F6C">
    <w:pPr>
      <w:pStyle w:val="Header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113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7FC"/>
    <w:rsid w:val="000009C2"/>
    <w:rsid w:val="00044814"/>
    <w:rsid w:val="000E099D"/>
    <w:rsid w:val="00150F35"/>
    <w:rsid w:val="0015236B"/>
    <w:rsid w:val="00153F70"/>
    <w:rsid w:val="001A35F6"/>
    <w:rsid w:val="001B0432"/>
    <w:rsid w:val="001C08D5"/>
    <w:rsid w:val="00213EBF"/>
    <w:rsid w:val="002C37D1"/>
    <w:rsid w:val="003106E1"/>
    <w:rsid w:val="00331B21"/>
    <w:rsid w:val="003E73E4"/>
    <w:rsid w:val="003E7896"/>
    <w:rsid w:val="0056530A"/>
    <w:rsid w:val="00604F72"/>
    <w:rsid w:val="00621132"/>
    <w:rsid w:val="00684E57"/>
    <w:rsid w:val="006D57DA"/>
    <w:rsid w:val="006F5740"/>
    <w:rsid w:val="007301C9"/>
    <w:rsid w:val="00742662"/>
    <w:rsid w:val="007977A6"/>
    <w:rsid w:val="007C1D85"/>
    <w:rsid w:val="008023B4"/>
    <w:rsid w:val="00856CDA"/>
    <w:rsid w:val="00902892"/>
    <w:rsid w:val="0094213E"/>
    <w:rsid w:val="00950D64"/>
    <w:rsid w:val="00967033"/>
    <w:rsid w:val="009A453C"/>
    <w:rsid w:val="009A7F50"/>
    <w:rsid w:val="00A104ED"/>
    <w:rsid w:val="00A34F6C"/>
    <w:rsid w:val="00A77FCA"/>
    <w:rsid w:val="00AB5F0B"/>
    <w:rsid w:val="00AE6E04"/>
    <w:rsid w:val="00BB548F"/>
    <w:rsid w:val="00C03FB0"/>
    <w:rsid w:val="00C24BFA"/>
    <w:rsid w:val="00C26AE9"/>
    <w:rsid w:val="00C817FC"/>
    <w:rsid w:val="00D00CDE"/>
    <w:rsid w:val="00D06974"/>
    <w:rsid w:val="00D14B80"/>
    <w:rsid w:val="00D9651D"/>
    <w:rsid w:val="00DC49FC"/>
    <w:rsid w:val="00E00587"/>
    <w:rsid w:val="00ED2BE1"/>
    <w:rsid w:val="00EE0C00"/>
    <w:rsid w:val="00F00918"/>
    <w:rsid w:val="00F51BA8"/>
    <w:rsid w:val="00F95492"/>
    <w:rsid w:val="00FB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iberation Sans" w:hAnsi="Arial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D1"/>
    <w:pPr>
      <w:widowControl w:val="0"/>
      <w:spacing w:before="150" w:after="150"/>
      <w:ind w:left="150" w:right="150"/>
    </w:pPr>
    <w:rPr>
      <w:color w:val="000000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2C37D1"/>
    <w:pPr>
      <w:outlineLvl w:val="0"/>
    </w:pPr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2C37D1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4F72"/>
    <w:pPr>
      <w:keepNext/>
      <w:keepLines/>
      <w:spacing w:before="200" w:after="0"/>
      <w:outlineLvl w:val="2"/>
    </w:pPr>
    <w:rPr>
      <w:rFonts w:ascii="Calibri Light" w:eastAsia="Times New Roman" w:hAnsi="Calibri Light" w:cs="Mangal"/>
      <w:b/>
      <w:bCs/>
      <w:color w:val="4472C4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705"/>
    <w:rPr>
      <w:rFonts w:asciiTheme="majorHAnsi" w:eastAsiaTheme="majorEastAsia" w:hAnsiTheme="majorHAnsi" w:cs="Mangal"/>
      <w:b/>
      <w:bCs/>
      <w:color w:val="000000"/>
      <w:kern w:val="32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705"/>
    <w:rPr>
      <w:rFonts w:asciiTheme="majorHAnsi" w:eastAsiaTheme="majorEastAsia" w:hAnsiTheme="majorHAnsi" w:cs="Mangal"/>
      <w:b/>
      <w:bCs/>
      <w:i/>
      <w:iCs/>
      <w:color w:val="000000"/>
      <w:sz w:val="28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4F72"/>
    <w:rPr>
      <w:rFonts w:ascii="Calibri Light" w:hAnsi="Calibri Light" w:cs="Mangal"/>
      <w:b/>
      <w:bCs/>
      <w:color w:val="4472C4"/>
      <w:sz w:val="21"/>
      <w:szCs w:val="21"/>
    </w:rPr>
  </w:style>
  <w:style w:type="character" w:customStyle="1" w:styleId="EndnoteCharacters">
    <w:name w:val="Endnote Characters"/>
    <w:uiPriority w:val="99"/>
    <w:rsid w:val="002C37D1"/>
  </w:style>
  <w:style w:type="character" w:customStyle="1" w:styleId="FootnoteCharacters">
    <w:name w:val="Footnote Characters"/>
    <w:uiPriority w:val="99"/>
    <w:rsid w:val="002C37D1"/>
  </w:style>
  <w:style w:type="character" w:customStyle="1" w:styleId="InternetLink">
    <w:name w:val="Internet Link"/>
    <w:uiPriority w:val="99"/>
    <w:rsid w:val="002C37D1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uiPriority w:val="99"/>
    <w:rsid w:val="002C37D1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uiPriority w:val="99"/>
    <w:rsid w:val="002C37D1"/>
    <w:rPr>
      <w:i/>
    </w:rPr>
  </w:style>
  <w:style w:type="paragraph" w:customStyle="1" w:styleId="TableContents">
    <w:name w:val="Table Contents"/>
    <w:basedOn w:val="BodyText"/>
    <w:uiPriority w:val="99"/>
    <w:rsid w:val="002C37D1"/>
  </w:style>
  <w:style w:type="paragraph" w:styleId="Footer">
    <w:name w:val="footer"/>
    <w:basedOn w:val="Normal"/>
    <w:link w:val="FooterChar"/>
    <w:uiPriority w:val="99"/>
    <w:rsid w:val="002C37D1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705"/>
    <w:rPr>
      <w:rFonts w:cs="Mangal"/>
      <w:color w:val="000000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rsid w:val="002C37D1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4F6C"/>
    <w:rPr>
      <w:rFonts w:cs="Times New Roman"/>
      <w:color w:val="000000"/>
    </w:rPr>
  </w:style>
  <w:style w:type="paragraph" w:customStyle="1" w:styleId="Index">
    <w:name w:val="Index"/>
    <w:basedOn w:val="Normal"/>
    <w:uiPriority w:val="99"/>
    <w:rsid w:val="002C37D1"/>
    <w:pPr>
      <w:suppressLineNumbers/>
    </w:pPr>
  </w:style>
  <w:style w:type="paragraph" w:styleId="Caption">
    <w:name w:val="caption"/>
    <w:basedOn w:val="Normal"/>
    <w:uiPriority w:val="99"/>
    <w:qFormat/>
    <w:rsid w:val="002C37D1"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  <w:uiPriority w:val="99"/>
    <w:rsid w:val="002C37D1"/>
  </w:style>
  <w:style w:type="paragraph" w:styleId="BodyText">
    <w:name w:val="Body Text"/>
    <w:basedOn w:val="Normal"/>
    <w:link w:val="BodyTextChar"/>
    <w:uiPriority w:val="99"/>
    <w:rsid w:val="002C37D1"/>
    <w:pPr>
      <w:spacing w:before="0"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0705"/>
    <w:rPr>
      <w:rFonts w:cs="Mangal"/>
      <w:color w:val="000000"/>
      <w:sz w:val="24"/>
      <w:szCs w:val="21"/>
      <w:lang w:eastAsia="zh-CN" w:bidi="hi-IN"/>
    </w:rPr>
  </w:style>
  <w:style w:type="paragraph" w:customStyle="1" w:styleId="Heading">
    <w:name w:val="Heading"/>
    <w:basedOn w:val="Normal"/>
    <w:next w:val="BodyText"/>
    <w:uiPriority w:val="99"/>
    <w:rsid w:val="002C37D1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uiPriority w:val="99"/>
    <w:rsid w:val="002C37D1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FB4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F6C"/>
    <w:rPr>
      <w:rFonts w:ascii="Tahoma" w:hAnsi="Tahoma" w:cs="Mangal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998b1079-f74d-4f2f-8a25-cf66bb53e72b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stup.scli.ru:8111/content/act/ea4730e2-0388-4aee-bd89-0cbc2c54574b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stup.scli.ru:8111/content/act/ea4730e2-0388-4aee-bd89-0cbc2c54574b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2417</Words>
  <Characters>13777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cp:keywords/>
  <dc:description/>
  <cp:lastModifiedBy>Customer</cp:lastModifiedBy>
  <cp:revision>3</cp:revision>
  <cp:lastPrinted>2024-04-22T07:31:00Z</cp:lastPrinted>
  <dcterms:created xsi:type="dcterms:W3CDTF">2024-04-22T07:35:00Z</dcterms:created>
  <dcterms:modified xsi:type="dcterms:W3CDTF">2024-04-22T08:09:00Z</dcterms:modified>
</cp:coreProperties>
</file>